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Cheystie Floor Lamp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T154-0029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bookmarkStart w:id="1" w:name="_GoBack"/>
      <w:bookmarkEnd w:id="1"/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inial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Assembly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/F/G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Tube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H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Base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Washer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J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Nut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K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Wrench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</w:pPr>
      <w:r>
        <w:t xml:space="preserve"> 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p>
      <w:pPr>
        <w:pStyle w:val="16"/>
        <w:numPr>
          <w:ilvl w:val="0"/>
          <w:numId w:val="0"/>
        </w:numPr>
        <w:spacing w:line="240" w:lineRule="auto"/>
        <w:rPr>
          <w:rFonts w:hint="default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2</w:t>
      </w:r>
      <w:r>
        <w:rPr>
          <w:rFonts w:hint="eastAsia" w:eastAsia="宋体"/>
          <w:kern w:val="0"/>
        </w:rPr>
        <w:t xml:space="preserve">. Insert and thread </w:t>
      </w:r>
      <w:r>
        <w:rPr>
          <w:rFonts w:hint="eastAsia" w:eastAsia="宋体"/>
          <w:kern w:val="0"/>
          <w:lang w:val="en-US" w:eastAsia="zh-CN"/>
        </w:rPr>
        <w:t>the Tube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F</w:t>
      </w:r>
      <w:r>
        <w:rPr>
          <w:rFonts w:hint="eastAsia" w:eastAsia="宋体"/>
          <w:kern w:val="0"/>
        </w:rPr>
        <w:t>) into</w:t>
      </w:r>
      <w:r>
        <w:rPr>
          <w:rFonts w:hint="eastAsia" w:eastAsia="宋体"/>
          <w:kern w:val="0"/>
          <w:lang w:val="en-US" w:eastAsia="zh-CN"/>
        </w:rPr>
        <w:t xml:space="preserve"> the the Tube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E</w:t>
      </w:r>
      <w:r>
        <w:rPr>
          <w:rFonts w:hint="eastAsia" w:eastAsia="宋体"/>
          <w:kern w:val="0"/>
        </w:rPr>
        <w:t>).</w:t>
      </w:r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Screw </w:t>
      </w:r>
      <w:r>
        <w:rPr>
          <w:rFonts w:hint="eastAsia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Tube</w:t>
      </w:r>
      <w:r>
        <w:rPr>
          <w:rFonts w:hint="eastAsia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G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) </w:t>
      </w:r>
      <w:r>
        <w:rPr>
          <w:rFonts w:hint="eastAsia" w:cs="Arial"/>
          <w:sz w:val="20"/>
          <w:szCs w:val="20"/>
          <w:lang w:val="en-US" w:eastAsia="zh-CN"/>
        </w:rPr>
        <w:t>in</w:t>
      </w:r>
      <w:r>
        <w:rPr>
          <w:rFonts w:hint="eastAsia" w:ascii="Arial" w:hAnsi="Arial" w:cs="Arial"/>
          <w:sz w:val="20"/>
          <w:szCs w:val="20"/>
          <w:lang w:val="en-US" w:eastAsia="zh-CN"/>
        </w:rPr>
        <w:t>to the</w:t>
      </w:r>
      <w:r>
        <w:rPr>
          <w:rFonts w:hint="eastAsia" w:cs="Arial"/>
          <w:sz w:val="20"/>
          <w:szCs w:val="20"/>
          <w:lang w:val="en-US" w:eastAsia="zh-CN"/>
        </w:rPr>
        <w:t xml:space="preserve"> Tube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sz w:val="20"/>
          <w:szCs w:val="20"/>
          <w:lang w:val="en-US" w:eastAsia="zh-CN"/>
        </w:rPr>
        <w:t>)</w:t>
      </w:r>
      <w:r>
        <w:rPr>
          <w:rFonts w:hint="eastAsia" w:cs="Arial"/>
          <w:sz w:val="20"/>
          <w:szCs w:val="20"/>
          <w:lang w:val="en-US" w:eastAsia="zh-CN"/>
        </w:rPr>
        <w:t xml:space="preserve">. 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  <w:lang w:val="en-US" w:eastAsia="zh-CN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3</w:t>
      </w:r>
      <w:r>
        <w:rPr>
          <w:rFonts w:hint="eastAsia" w:eastAsia="宋体"/>
          <w:kern w:val="0"/>
        </w:rPr>
        <w:t>.</w:t>
      </w:r>
      <w:r>
        <w:rPr>
          <w:rFonts w:hint="eastAsia" w:eastAsia="宋体"/>
          <w:kern w:val="0"/>
          <w:lang w:val="en-US" w:eastAsia="zh-CN"/>
        </w:rPr>
        <w:t xml:space="preserve"> Insert the Tube (G) through the Base (H). Secure by the Washer (I) and the Nut (J) with the Wrench (K).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  <w:lang w:val="en-US" w:eastAsia="zh-CN"/>
        </w:rPr>
      </w:pPr>
      <w:r>
        <w:rPr>
          <w:rFonts w:hint="eastAsia" w:eastAsia="宋体"/>
          <w:b/>
          <w:bCs/>
          <w:kern w:val="0"/>
          <w:lang w:val="en-US" w:eastAsia="zh-CN"/>
        </w:rPr>
        <w:t>NOTE:</w:t>
      </w:r>
      <w:r>
        <w:rPr>
          <w:rFonts w:hint="eastAsia" w:eastAsia="宋体"/>
          <w:kern w:val="0"/>
          <w:lang w:val="en-US" w:eastAsia="zh-CN"/>
        </w:rPr>
        <w:t xml:space="preserve"> The Socket Assembly (D) should be centered directly above the Base (H).</w:t>
      </w:r>
    </w:p>
    <w:bookmarkEnd w:id="0"/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default" w:ascii="Arial" w:hAnsi="Arial" w:eastAsia="宋体" w:cs="Arial"/>
          <w:sz w:val="20"/>
          <w:szCs w:val="20"/>
        </w:rPr>
        <w:t xml:space="preserve">Install light bulb into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eastAsia="宋体" w:cs="Arial"/>
          <w:sz w:val="20"/>
          <w:szCs w:val="20"/>
        </w:rPr>
        <w:t>ocket.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Pinch and insert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into the harp fittings on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 Socket Assembly (D)</w:t>
      </w:r>
      <w:r>
        <w:rPr>
          <w:rFonts w:hint="eastAsia" w:ascii="Arial" w:hAnsi="Arial" w:eastAsia="宋体" w:cs="Arial"/>
          <w:sz w:val="20"/>
          <w:szCs w:val="20"/>
        </w:rPr>
        <w:t xml:space="preserve">. Slide the caps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over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 xml:space="preserve">the fittings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 xml:space="preserve">Remove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 xml:space="preserve">) from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), place the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S</w:t>
      </w:r>
      <w:r>
        <w:rPr>
          <w:rFonts w:hint="eastAsia" w:ascii="Arial" w:hAnsi="Arial" w:eastAsia="宋体" w:cs="Arial"/>
          <w:sz w:val="20"/>
          <w:szCs w:val="20"/>
        </w:rPr>
        <w:t>hade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eastAsia="宋体" w:cs="Arial"/>
          <w:sz w:val="20"/>
          <w:szCs w:val="20"/>
        </w:rPr>
        <w:t xml:space="preserve">) on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 xml:space="preserve">) and secure with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Insert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</w:rPr>
        <w:t>plug into an electrical outlet.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8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Use the rotary switch on the Socket Assembly (D) to turn the lamp ON and OFF.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</w:t>
      </w:r>
      <w:r>
        <w:drawing>
          <wp:inline distT="0" distB="0" distL="114300" distR="114300">
            <wp:extent cx="2305050" cy="41325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0F034A79"/>
    <w:rsid w:val="12E6431D"/>
    <w:rsid w:val="29C0388E"/>
    <w:rsid w:val="2F610DE4"/>
    <w:rsid w:val="31A004A8"/>
    <w:rsid w:val="35552414"/>
    <w:rsid w:val="413D0A44"/>
    <w:rsid w:val="4E1948AE"/>
    <w:rsid w:val="59265D26"/>
    <w:rsid w:val="69CC4040"/>
    <w:rsid w:val="751C1428"/>
    <w:rsid w:val="753928E6"/>
    <w:rsid w:val="7875285D"/>
    <w:rsid w:val="79D9716E"/>
    <w:rsid w:val="7BDA2F25"/>
    <w:rsid w:val="7C0D28F8"/>
    <w:rsid w:val="7C54049B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3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2019-04-08T07:40:24Z</cp:lastPrinted>
  <dcterms:modified xsi:type="dcterms:W3CDTF">2019-04-08T07:40:46Z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