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95885</wp:posOffset>
            </wp:positionV>
            <wp:extent cx="2321560" cy="490220"/>
            <wp:effectExtent l="0" t="0" r="2540" b="508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ASSEMBLY</w:t>
      </w:r>
      <w:r>
        <w:rPr>
          <w:rFonts w:hint="eastAsia" w:ascii="Arial" w:hAnsi="Arial" w:cs="Arial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36"/>
          <w:szCs w:val="36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Maddie chandelier </w:t>
      </w:r>
      <w:r>
        <w:rPr>
          <w:rFonts w:hint="eastAsia" w:ascii="Arial" w:hAnsi="Arial" w:cs="Arial"/>
          <w:b/>
          <w:sz w:val="28"/>
          <w:szCs w:val="28"/>
        </w:rPr>
        <w:t>(Item# MP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150</w:t>
      </w:r>
      <w:r>
        <w:rPr>
          <w:rFonts w:hint="eastAsia" w:ascii="Arial" w:hAnsi="Arial" w:cs="Arial"/>
          <w:b/>
          <w:sz w:val="28"/>
          <w:szCs w:val="28"/>
        </w:rPr>
        <w:t>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192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</w:p>
    <w:tbl>
      <w:tblPr>
        <w:tblStyle w:val="8"/>
        <w:tblpPr w:leftFromText="180" w:rightFromText="180" w:vertAnchor="text" w:horzAnchor="page" w:tblpX="5877" w:tblpY="263"/>
        <w:tblOverlap w:val="never"/>
        <w:tblW w:w="3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950"/>
        <w:gridCol w:w="1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Terminal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Screw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tbl>
      <w:tblPr>
        <w:tblStyle w:val="8"/>
        <w:tblpPr w:leftFromText="180" w:rightFromText="180" w:vertAnchor="text" w:horzAnchor="page" w:tblpX="642" w:tblpY="278"/>
        <w:tblOverlap w:val="never"/>
        <w:tblW w:w="4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3031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Ceiling bracket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Canopy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Outer rings of canopy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Straight tube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 body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Shade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/>
              </w:rPr>
              <w:t>Socket ring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To Adjust the Suspension Length of the Fixture: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eastAsia="宋体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eastAsia="zh-CN"/>
        </w:rPr>
        <w:t>length on the 3 wire cords so that they all at least 6 inches (152.4mm) long within the outlet junction box.(J-box)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3933190" cy="8063865"/>
            <wp:effectExtent l="0" t="0" r="1016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8063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B35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469B9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A1B0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16F5"/>
    <w:rsid w:val="0032226F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379"/>
    <w:rsid w:val="00402152"/>
    <w:rsid w:val="00402624"/>
    <w:rsid w:val="0040300A"/>
    <w:rsid w:val="00404006"/>
    <w:rsid w:val="00424759"/>
    <w:rsid w:val="00432502"/>
    <w:rsid w:val="0044108E"/>
    <w:rsid w:val="00441DDB"/>
    <w:rsid w:val="0044412E"/>
    <w:rsid w:val="00451EBC"/>
    <w:rsid w:val="004539C9"/>
    <w:rsid w:val="00460CAB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035D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B30DE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564DA"/>
    <w:rsid w:val="0076590D"/>
    <w:rsid w:val="00770C68"/>
    <w:rsid w:val="007738DE"/>
    <w:rsid w:val="007813DF"/>
    <w:rsid w:val="0078583F"/>
    <w:rsid w:val="00786D2D"/>
    <w:rsid w:val="00786D86"/>
    <w:rsid w:val="00797C6C"/>
    <w:rsid w:val="00797F6F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409"/>
    <w:rsid w:val="00983501"/>
    <w:rsid w:val="009838B9"/>
    <w:rsid w:val="00995720"/>
    <w:rsid w:val="00997AE9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64F8A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51DA"/>
    <w:rsid w:val="00E964E3"/>
    <w:rsid w:val="00E96C70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529"/>
    <w:rsid w:val="00F1588D"/>
    <w:rsid w:val="00F20233"/>
    <w:rsid w:val="00F221AE"/>
    <w:rsid w:val="00F25530"/>
    <w:rsid w:val="00F2609A"/>
    <w:rsid w:val="00F43386"/>
    <w:rsid w:val="00F43D65"/>
    <w:rsid w:val="00F47E0E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3622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778504C"/>
    <w:rsid w:val="0A5F4413"/>
    <w:rsid w:val="105C7B21"/>
    <w:rsid w:val="13CA51A1"/>
    <w:rsid w:val="14F75678"/>
    <w:rsid w:val="172C0F11"/>
    <w:rsid w:val="1B803FEB"/>
    <w:rsid w:val="1EE244C4"/>
    <w:rsid w:val="31B46952"/>
    <w:rsid w:val="401A31EC"/>
    <w:rsid w:val="428C1925"/>
    <w:rsid w:val="47C210BB"/>
    <w:rsid w:val="4F8631B2"/>
    <w:rsid w:val="5DD07D30"/>
    <w:rsid w:val="64AD5637"/>
    <w:rsid w:val="64AE1BAE"/>
    <w:rsid w:val="6733001C"/>
    <w:rsid w:val="750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270</Words>
  <Characters>1545</Characters>
  <Lines>12</Lines>
  <Paragraphs>3</Paragraphs>
  <TotalTime>2</TotalTime>
  <ScaleCrop>false</ScaleCrop>
  <LinksUpToDate>false</LinksUpToDate>
  <CharactersWithSpaces>1812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灵芝</cp:lastModifiedBy>
  <cp:lastPrinted>2017-05-13T03:07:00Z</cp:lastPrinted>
  <dcterms:modified xsi:type="dcterms:W3CDTF">2018-10-24T13:14:41Z</dcterms:modified>
  <dc:title>west elm                         Finn pendant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